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BCE1" w14:textId="10D2B3D1" w:rsidR="00041B57" w:rsidRDefault="00041B57" w:rsidP="00372915">
      <w:pPr>
        <w:jc w:val="center"/>
        <w:rPr>
          <w:rFonts w:ascii="Arial Narrow" w:hAnsi="Arial Narrow"/>
          <w:sz w:val="18"/>
        </w:rPr>
      </w:pPr>
    </w:p>
    <w:p w14:paraId="417DBF86" w14:textId="287A0D72" w:rsidR="00A60E85" w:rsidRDefault="00BE501F" w:rsidP="00372915">
      <w:pPr>
        <w:pStyle w:val="Heading1"/>
        <w:rPr>
          <w:rFonts w:ascii="Rockwell Extra Bold" w:hAnsi="Rockwell Extra Bold"/>
          <w:bCs w:val="0"/>
          <w:sz w:val="52"/>
        </w:rPr>
      </w:pPr>
      <w:bookmarkStart w:id="0" w:name="_GoBack"/>
      <w:r>
        <w:rPr>
          <w:rFonts w:ascii="Rockwell Extra Bold" w:hAnsi="Rockwell Extra Bold"/>
          <w:bCs w:val="0"/>
          <w:noProof/>
          <w:sz w:val="5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6D62A0FC" wp14:editId="7E0D92ED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dorf-pat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A03AD1" w14:textId="1CF36BDD" w:rsid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Recruitment &amp; Retention</w:t>
      </w:r>
      <w:r w:rsidR="005410CE" w:rsidRPr="00A60E85">
        <w:rPr>
          <w:rFonts w:ascii="Rockwell Extra Bold" w:hAnsi="Rockwell Extra Bold"/>
          <w:bCs w:val="0"/>
          <w:sz w:val="52"/>
        </w:rPr>
        <w:t xml:space="preserve"> </w:t>
      </w:r>
    </w:p>
    <w:p w14:paraId="0720EF90" w14:textId="0D32096C" w:rsidR="00041B57" w:rsidRP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Action Plan</w:t>
      </w:r>
    </w:p>
    <w:p w14:paraId="56D73DDB" w14:textId="44C0B42E" w:rsidR="001420D3" w:rsidRPr="001420D3" w:rsidRDefault="001420D3" w:rsidP="001420D3"/>
    <w:tbl>
      <w:tblPr>
        <w:tblW w:w="0" w:type="auto"/>
        <w:tblLook w:val="0000" w:firstRow="0" w:lastRow="0" w:firstColumn="0" w:lastColumn="0" w:noHBand="0" w:noVBand="0"/>
      </w:tblPr>
      <w:tblGrid>
        <w:gridCol w:w="3980"/>
        <w:gridCol w:w="6820"/>
      </w:tblGrid>
      <w:tr w:rsidR="001420D3" w14:paraId="7C3F650C" w14:textId="77777777" w:rsidTr="001420D3">
        <w:trPr>
          <w:trHeight w:val="1116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66E9C3BE" w14:textId="77777777" w:rsidR="001420D3" w:rsidRPr="00A60E85" w:rsidRDefault="001420D3" w:rsidP="001420D3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ADOPT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31073314" w14:textId="77777777" w:rsidR="001420D3" w:rsidRPr="00A60E85" w:rsidRDefault="001420D3" w:rsidP="000D26FA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 adapt-and-overcome attitude. Treat every public interaction as a public service, public education, public relations and recruitment opportunity.</w:t>
            </w:r>
          </w:p>
        </w:tc>
      </w:tr>
      <w:tr w:rsidR="00041B57" w14:paraId="3E99A916" w14:textId="77777777" w:rsidTr="001420D3">
        <w:trPr>
          <w:trHeight w:val="765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49A80FD6" w14:textId="77777777" w:rsidR="00041B57" w:rsidRPr="00A60E85" w:rsidRDefault="00041B57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ASSESS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4F746027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Your current delivery system,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available </w:t>
            </w:r>
            <w:r w:rsidRPr="00A60E85">
              <w:rPr>
                <w:rFonts w:asciiTheme="minorHAnsi" w:hAnsiTheme="minorHAnsi"/>
                <w:sz w:val="28"/>
              </w:rPr>
              <w:t>staffing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target </w:t>
            </w:r>
            <w:r w:rsidR="00B40269" w:rsidRPr="00A60E85">
              <w:rPr>
                <w:rFonts w:asciiTheme="minorHAnsi" w:hAnsiTheme="minorHAnsi"/>
                <w:sz w:val="28"/>
              </w:rPr>
              <w:t>audience</w:t>
            </w:r>
            <w:r w:rsidRPr="00A60E85">
              <w:rPr>
                <w:rFonts w:asciiTheme="minorHAnsi" w:hAnsiTheme="minorHAnsi"/>
                <w:sz w:val="28"/>
              </w:rPr>
              <w:t xml:space="preserve"> and your need for volunteers. </w:t>
            </w:r>
          </w:p>
        </w:tc>
      </w:tr>
      <w:tr w:rsidR="00041B57" w14:paraId="70B52417" w14:textId="77777777" w:rsidTr="001420D3">
        <w:trPr>
          <w:trHeight w:val="152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8091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PLAN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10C6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For new volunteers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logistically, operationally and culturally. 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Establish attainable goals and benchmarks for measuring success. Focus on quality–not just quantity. </w:t>
            </w:r>
            <w:r w:rsidR="005410CE" w:rsidRPr="00A60E85">
              <w:rPr>
                <w:rFonts w:asciiTheme="minorHAnsi" w:hAnsiTheme="minorHAnsi"/>
                <w:sz w:val="28"/>
              </w:rPr>
              <w:t>Be careful what you wish for!</w:t>
            </w:r>
          </w:p>
        </w:tc>
      </w:tr>
      <w:tr w:rsidR="00041B57" w14:paraId="1777F9F6" w14:textId="77777777" w:rsidTr="001420D3">
        <w:trPr>
          <w:trHeight w:val="80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6DFB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IDENTIFY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181D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Opportunities for change</w:t>
            </w:r>
            <w:r w:rsidR="005410CE" w:rsidRPr="00A60E85">
              <w:rPr>
                <w:rFonts w:asciiTheme="minorHAnsi" w:hAnsiTheme="minorHAnsi"/>
                <w:sz w:val="28"/>
              </w:rPr>
              <w:t>. Do what you do best. Outsource the rest.</w:t>
            </w:r>
          </w:p>
        </w:tc>
      </w:tr>
      <w:tr w:rsidR="00041B57" w14:paraId="440763B1" w14:textId="77777777" w:rsidTr="001420D3">
        <w:trPr>
          <w:trHeight w:val="881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1BB8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TRAIN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5B61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Existing volunteers to recruit and retain</w:t>
            </w:r>
            <w:r w:rsidR="005410CE" w:rsidRPr="00A60E85">
              <w:rPr>
                <w:rFonts w:asciiTheme="minorHAnsi" w:hAnsiTheme="minorHAnsi"/>
                <w:sz w:val="28"/>
              </w:rPr>
              <w:t>. Take a team approach to building a bigger, better team.</w:t>
            </w:r>
          </w:p>
        </w:tc>
      </w:tr>
      <w:tr w:rsidR="00041B57" w14:paraId="78B1EF0E" w14:textId="77777777" w:rsidTr="001420D3">
        <w:trPr>
          <w:trHeight w:val="1079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53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CREATE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793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Messages and media that challenge the prospect</w:t>
            </w:r>
            <w:r w:rsidR="00017133" w:rsidRPr="00A60E85">
              <w:rPr>
                <w:rFonts w:asciiTheme="minorHAnsi" w:hAnsiTheme="minorHAnsi"/>
                <w:sz w:val="28"/>
              </w:rPr>
              <w:t xml:space="preserve"> to get involved</w:t>
            </w:r>
            <w:r w:rsidR="005410CE" w:rsidRPr="00A60E85">
              <w:rPr>
                <w:rFonts w:asciiTheme="minorHAnsi" w:hAnsiTheme="minorHAnsi"/>
                <w:sz w:val="28"/>
              </w:rPr>
              <w:t>. Always include a call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to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action and a sense of urgency.</w:t>
            </w:r>
          </w:p>
        </w:tc>
      </w:tr>
      <w:tr w:rsidR="00041B57" w14:paraId="42142E6A" w14:textId="77777777" w:rsidTr="001420D3">
        <w:trPr>
          <w:trHeight w:val="755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F62D" w14:textId="77777777" w:rsidR="00041B57" w:rsidRPr="009D3AE9" w:rsidRDefault="00041B57">
            <w:pPr>
              <w:jc w:val="right"/>
              <w:rPr>
                <w:rFonts w:ascii="Arial Black" w:hAnsi="Arial Black"/>
                <w:sz w:val="44"/>
                <w:szCs w:val="44"/>
              </w:rPr>
            </w:pPr>
            <w:r w:rsidRPr="009D3AE9">
              <w:rPr>
                <w:rFonts w:ascii="Arial Black" w:hAnsi="Arial Black"/>
                <w:sz w:val="44"/>
                <w:szCs w:val="44"/>
              </w:rPr>
              <w:t>DEMONSTRATE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1390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The needs of and 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want </w:t>
            </w:r>
            <w:r w:rsidRPr="00A60E85">
              <w:rPr>
                <w:rFonts w:asciiTheme="minorHAnsi" w:hAnsiTheme="minorHAnsi"/>
                <w:sz w:val="28"/>
              </w:rPr>
              <w:t>for volunteers</w:t>
            </w:r>
            <w:r w:rsidR="005410CE" w:rsidRPr="00A60E85">
              <w:rPr>
                <w:rFonts w:asciiTheme="minorHAnsi" w:hAnsiTheme="minorHAnsi"/>
                <w:sz w:val="28"/>
              </w:rPr>
              <w:t>. Data drives decisions</w:t>
            </w:r>
            <w:r w:rsidR="00234336" w:rsidRPr="00A60E85">
              <w:rPr>
                <w:rFonts w:asciiTheme="minorHAnsi" w:hAnsiTheme="minorHAnsi"/>
                <w:sz w:val="28"/>
              </w:rPr>
              <w:t xml:space="preserve"> but people volunteer with their heart.</w:t>
            </w:r>
          </w:p>
        </w:tc>
      </w:tr>
      <w:tr w:rsidR="00041B57" w14:paraId="5D206488" w14:textId="77777777" w:rsidTr="001420D3">
        <w:trPr>
          <w:trHeight w:val="737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6DB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IMPLEMENT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5A05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Innovative s</w:t>
            </w:r>
            <w:r w:rsidR="00041B57" w:rsidRPr="00A60E85">
              <w:rPr>
                <w:rFonts w:asciiTheme="minorHAnsi" w:hAnsiTheme="minorHAnsi"/>
                <w:sz w:val="28"/>
              </w:rPr>
              <w:t>olutions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that are manageable, scalable and sustainable</w:t>
            </w:r>
            <w:r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6559F933" w14:textId="77777777" w:rsidTr="001420D3">
        <w:trPr>
          <w:trHeight w:val="773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92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MEASURE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4F7C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Progress and modify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your </w:t>
            </w:r>
            <w:r w:rsidRPr="00A60E85">
              <w:rPr>
                <w:rFonts w:asciiTheme="minorHAnsi" w:hAnsiTheme="minorHAnsi"/>
                <w:sz w:val="28"/>
              </w:rPr>
              <w:t xml:space="preserve">program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and efforts </w:t>
            </w:r>
            <w:r w:rsidRPr="00A60E85">
              <w:rPr>
                <w:rFonts w:asciiTheme="minorHAnsi" w:hAnsiTheme="minorHAnsi"/>
                <w:sz w:val="28"/>
              </w:rPr>
              <w:t>to meet changing needs and conditions</w:t>
            </w:r>
            <w:r w:rsidR="00B40269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4EA41EEE" w14:textId="77777777" w:rsidTr="001420D3">
        <w:trPr>
          <w:trHeight w:val="116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F95C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FOLLOW-UP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2479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And Follow-Through</w:t>
            </w:r>
            <w:r w:rsidR="005410CE" w:rsidRPr="00A60E85">
              <w:rPr>
                <w:rFonts w:asciiTheme="minorHAnsi" w:hAnsiTheme="minorHAnsi"/>
                <w:sz w:val="28"/>
              </w:rPr>
              <w:t>. Capture their attention early and often. Keep the prospect engaged throughout the entire process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 </w:t>
            </w:r>
            <w:r w:rsidR="00DD06E0" w:rsidRPr="00A60E85">
              <w:rPr>
                <w:rFonts w:asciiTheme="minorHAnsi" w:hAnsiTheme="minorHAnsi"/>
                <w:sz w:val="28"/>
              </w:rPr>
              <w:t xml:space="preserve">– </w:t>
            </w:r>
            <w:r w:rsidR="009D3AE9" w:rsidRPr="00A60E85">
              <w:rPr>
                <w:rFonts w:asciiTheme="minorHAnsi" w:hAnsiTheme="minorHAnsi"/>
                <w:sz w:val="28"/>
              </w:rPr>
              <w:t>from recruit to retirement</w:t>
            </w:r>
            <w:r w:rsidR="005410CE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</w:tbl>
    <w:p w14:paraId="52057B60" w14:textId="4D04CCC5" w:rsidR="00A60E85" w:rsidRDefault="00A60E85" w:rsidP="007C205E">
      <w:pPr>
        <w:spacing w:before="120"/>
        <w:jc w:val="both"/>
        <w:rPr>
          <w:i/>
          <w:sz w:val="14"/>
          <w:szCs w:val="14"/>
        </w:rPr>
      </w:pPr>
    </w:p>
    <w:p w14:paraId="67F1D8BA" w14:textId="7BB6660A" w:rsidR="00A60E85" w:rsidRPr="005031C9" w:rsidRDefault="00A60E85" w:rsidP="00FE625B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A60E85">
        <w:rPr>
          <w:rFonts w:ascii="Calibri" w:hAnsi="Calibri" w:cs="Calibri Light"/>
          <w:b/>
        </w:rPr>
        <w:t>Designed and Powered By:</w:t>
      </w:r>
    </w:p>
    <w:p w14:paraId="39F43068" w14:textId="2508674F" w:rsidR="00A60E85" w:rsidRPr="007C205E" w:rsidRDefault="00FE625B" w:rsidP="00FE625B">
      <w:pPr>
        <w:jc w:val="both"/>
        <w:rPr>
          <w:i/>
          <w:sz w:val="14"/>
          <w:szCs w:val="14"/>
        </w:rPr>
      </w:pPr>
      <w:r w:rsidRPr="00A60E85">
        <w:rPr>
          <w:rFonts w:ascii="Calibri" w:hAnsi="Calibri" w:cs="Calibri Light"/>
          <w:b/>
          <w:noProof/>
        </w:rPr>
        <w:drawing>
          <wp:anchor distT="0" distB="0" distL="114300" distR="114300" simplePos="0" relativeHeight="251659264" behindDoc="1" locked="0" layoutInCell="1" allowOverlap="1" wp14:anchorId="44143455" wp14:editId="4452E3D5">
            <wp:simplePos x="0" y="0"/>
            <wp:positionH relativeFrom="column">
              <wp:posOffset>2042160</wp:posOffset>
            </wp:positionH>
            <wp:positionV relativeFrom="paragraph">
              <wp:posOffset>149225</wp:posOffset>
            </wp:positionV>
            <wp:extent cx="2667000" cy="510540"/>
            <wp:effectExtent l="0" t="0" r="0" b="0"/>
            <wp:wrapTight wrapText="bothSides">
              <wp:wrapPolygon edited="0">
                <wp:start x="926" y="0"/>
                <wp:lineTo x="0" y="1612"/>
                <wp:lineTo x="0" y="14507"/>
                <wp:lineTo x="206" y="17194"/>
                <wp:lineTo x="1234" y="20955"/>
                <wp:lineTo x="1337" y="20955"/>
                <wp:lineTo x="2057" y="20955"/>
                <wp:lineTo x="6274" y="20955"/>
                <wp:lineTo x="21497" y="18269"/>
                <wp:lineTo x="21497" y="2687"/>
                <wp:lineTo x="2469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E85" w:rsidRPr="007C205E" w:rsidSect="0054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8E7"/>
    <w:multiLevelType w:val="hybridMultilevel"/>
    <w:tmpl w:val="A9CA2E4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3700A"/>
    <w:multiLevelType w:val="hybridMultilevel"/>
    <w:tmpl w:val="0924E7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93A"/>
    <w:multiLevelType w:val="hybridMultilevel"/>
    <w:tmpl w:val="FA9E01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825"/>
    <w:multiLevelType w:val="hybridMultilevel"/>
    <w:tmpl w:val="D95E6B3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7B3"/>
    <w:multiLevelType w:val="hybridMultilevel"/>
    <w:tmpl w:val="2472A6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4B6"/>
    <w:multiLevelType w:val="hybridMultilevel"/>
    <w:tmpl w:val="E41A4A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727"/>
    <w:multiLevelType w:val="hybridMultilevel"/>
    <w:tmpl w:val="02C459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243D4"/>
    <w:multiLevelType w:val="hybridMultilevel"/>
    <w:tmpl w:val="A9CA2E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2479F"/>
    <w:multiLevelType w:val="hybridMultilevel"/>
    <w:tmpl w:val="CB868F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326434"/>
    <w:multiLevelType w:val="hybridMultilevel"/>
    <w:tmpl w:val="EA8A6E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2EC"/>
    <w:multiLevelType w:val="hybridMultilevel"/>
    <w:tmpl w:val="4E5EC3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7"/>
    <w:rsid w:val="00017133"/>
    <w:rsid w:val="00041B57"/>
    <w:rsid w:val="00074123"/>
    <w:rsid w:val="001420D3"/>
    <w:rsid w:val="001F272B"/>
    <w:rsid w:val="00234336"/>
    <w:rsid w:val="002E468C"/>
    <w:rsid w:val="00372915"/>
    <w:rsid w:val="00384FAC"/>
    <w:rsid w:val="004E26FE"/>
    <w:rsid w:val="005410CE"/>
    <w:rsid w:val="007C205E"/>
    <w:rsid w:val="00867228"/>
    <w:rsid w:val="009D3AE9"/>
    <w:rsid w:val="00A14974"/>
    <w:rsid w:val="00A47DA8"/>
    <w:rsid w:val="00A52967"/>
    <w:rsid w:val="00A60E85"/>
    <w:rsid w:val="00B40269"/>
    <w:rsid w:val="00B7279D"/>
    <w:rsid w:val="00BE501F"/>
    <w:rsid w:val="00D657C2"/>
    <w:rsid w:val="00DD06E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286A3"/>
  <w15:chartTrackingRefBased/>
  <w15:docId w15:val="{09F7E59F-19AD-458D-9D51-CD7C9D8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19">
    <w:name w:val="emailstyle19"/>
    <w:rsid w:val="00B7279D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A5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0E8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60E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RESOURCES:</vt:lpstr>
    </vt:vector>
  </TitlesOfParts>
  <Company>OnScene Marketing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RESOURCES:</dc:title>
  <dc:subject/>
  <dc:creator>Valued Gateway Client</dc:creator>
  <cp:keywords/>
  <dc:description/>
  <cp:lastModifiedBy>Maura Kennedy</cp:lastModifiedBy>
  <cp:revision>2</cp:revision>
  <cp:lastPrinted>2019-05-13T22:59:00Z</cp:lastPrinted>
  <dcterms:created xsi:type="dcterms:W3CDTF">2020-02-19T16:36:00Z</dcterms:created>
  <dcterms:modified xsi:type="dcterms:W3CDTF">2020-02-19T16:36:00Z</dcterms:modified>
</cp:coreProperties>
</file>